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9482">
      <w:pPr>
        <w:ind w:firstLine="709"/>
        <w:jc w:val="center"/>
        <w:rPr>
          <w:rFonts w:eastAsia="MS Mincho"/>
          <w:b/>
          <w:bCs/>
          <w:sz w:val="26"/>
          <w:szCs w:val="26"/>
          <w:lang w:eastAsia="ja-JP"/>
        </w:rPr>
      </w:pPr>
      <w:r>
        <w:rPr>
          <w:rFonts w:eastAsia="MS Mincho"/>
          <w:b/>
          <w:bCs/>
          <w:sz w:val="26"/>
          <w:szCs w:val="26"/>
          <w:lang w:eastAsia="ja-JP"/>
        </w:rPr>
        <w:t>ПРОГРАММА</w:t>
      </w:r>
    </w:p>
    <w:p w14:paraId="536BE0C2">
      <w:pPr>
        <w:ind w:firstLine="709"/>
        <w:jc w:val="center"/>
        <w:rPr>
          <w:rFonts w:eastAsia="MS Mincho"/>
          <w:b/>
          <w:bCs/>
          <w:sz w:val="26"/>
          <w:szCs w:val="26"/>
          <w:lang w:eastAsia="ja-JP"/>
        </w:rPr>
      </w:pPr>
    </w:p>
    <w:p w14:paraId="5C9F5E2C">
      <w:pPr>
        <w:jc w:val="center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Межрегиональной </w:t>
      </w:r>
      <w:r>
        <w:rPr>
          <w:rFonts w:eastAsia="Trebuchet MS"/>
          <w:sz w:val="26"/>
          <w:szCs w:val="26"/>
          <w:shd w:val="clear" w:color="auto" w:fill="FDFDFD"/>
        </w:rPr>
        <w:t>научно-практической конференции</w:t>
      </w:r>
      <w:r>
        <w:rPr>
          <w:rFonts w:hint="default" w:eastAsia="Trebuchet MS"/>
          <w:sz w:val="26"/>
          <w:szCs w:val="26"/>
          <w:shd w:val="clear" w:color="auto" w:fill="FDFDFD"/>
          <w:lang w:val="ru-RU"/>
        </w:rPr>
        <w:t xml:space="preserve"> </w:t>
      </w:r>
      <w:r>
        <w:rPr>
          <w:rFonts w:hint="default" w:eastAsia="Trebuchet MS"/>
          <w:sz w:val="26"/>
          <w:szCs w:val="26"/>
          <w:shd w:val="clear" w:color="auto" w:fill="FDFDFD"/>
          <w:lang w:val="en-US"/>
        </w:rPr>
        <w:t xml:space="preserve"> </w:t>
      </w:r>
      <w:r>
        <w:rPr>
          <w:rFonts w:eastAsia="Trebuchet MS"/>
          <w:sz w:val="26"/>
          <w:szCs w:val="26"/>
          <w:shd w:val="clear" w:color="auto" w:fill="FDFDFD"/>
        </w:rPr>
        <w:t>«</w:t>
      </w:r>
      <w:r>
        <w:rPr>
          <w:sz w:val="26"/>
          <w:szCs w:val="26"/>
        </w:rPr>
        <w:t>Пути совершенствования подготовки медицинских кадров»</w:t>
      </w:r>
      <w:r>
        <w:rPr>
          <w:rFonts w:hint="default"/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(к 25-летию со дня основания</w:t>
      </w:r>
      <w:r>
        <w:rPr>
          <w:rFonts w:hint="default"/>
          <w:sz w:val="26"/>
          <w:szCs w:val="26"/>
          <w:lang w:val="ru-RU"/>
        </w:rPr>
        <w:t xml:space="preserve"> </w:t>
      </w:r>
    </w:p>
    <w:p w14:paraId="22AA3325">
      <w:pPr>
        <w:jc w:val="center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 xml:space="preserve"> ГАУ ДПО «</w:t>
      </w:r>
      <w:r>
        <w:rPr>
          <w:sz w:val="26"/>
          <w:szCs w:val="26"/>
        </w:rPr>
        <w:t>Институт усовершенствования врачей</w:t>
      </w:r>
      <w:r>
        <w:rPr>
          <w:rFonts w:hint="default"/>
          <w:sz w:val="26"/>
          <w:szCs w:val="26"/>
          <w:lang w:val="ru-RU"/>
        </w:rPr>
        <w:t>»</w:t>
      </w:r>
      <w:r>
        <w:rPr>
          <w:sz w:val="26"/>
          <w:szCs w:val="26"/>
        </w:rPr>
        <w:t xml:space="preserve"> Минздрава Чувашии)</w:t>
      </w:r>
    </w:p>
    <w:p w14:paraId="7678C5D7">
      <w:pPr>
        <w:jc w:val="center"/>
        <w:rPr>
          <w:sz w:val="26"/>
          <w:szCs w:val="26"/>
        </w:rPr>
      </w:pPr>
    </w:p>
    <w:p w14:paraId="124ABA2D">
      <w:pPr>
        <w:ind w:firstLine="709"/>
        <w:jc w:val="center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b/>
          <w:sz w:val="26"/>
          <w:szCs w:val="26"/>
          <w:lang w:eastAsia="ja-JP"/>
        </w:rPr>
        <w:t>9 октября 2024 г.</w:t>
      </w:r>
    </w:p>
    <w:p w14:paraId="57D50792">
      <w:pPr>
        <w:ind w:firstLine="709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Организаторы:</w:t>
      </w:r>
    </w:p>
    <w:p w14:paraId="229040DC">
      <w:pPr>
        <w:pStyle w:val="6"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ГАУ ДПО «Институт усовершенствовани</w:t>
      </w:r>
      <w:r>
        <w:rPr>
          <w:rFonts w:eastAsia="MS Mincho"/>
          <w:lang w:val="ru-RU" w:eastAsia="ja-JP"/>
        </w:rPr>
        <w:t>я</w:t>
      </w:r>
      <w:r>
        <w:rPr>
          <w:rFonts w:eastAsia="MS Mincho"/>
          <w:lang w:eastAsia="ja-JP"/>
        </w:rPr>
        <w:t xml:space="preserve"> врачей» Минздрава Чувашии</w:t>
      </w:r>
    </w:p>
    <w:p w14:paraId="13150314">
      <w:pPr>
        <w:pStyle w:val="6"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Министерство здравоохранения Чувашской Республики</w:t>
      </w:r>
    </w:p>
    <w:p w14:paraId="2823D0DD">
      <w:pPr>
        <w:pStyle w:val="6"/>
        <w:suppressAutoHyphens w:val="0"/>
        <w:ind w:left="709"/>
        <w:contextualSpacing/>
        <w:jc w:val="both"/>
        <w:rPr>
          <w:rFonts w:eastAsia="MS Mincho"/>
          <w:lang w:eastAsia="ja-JP"/>
        </w:rPr>
      </w:pPr>
    </w:p>
    <w:p w14:paraId="0110636A">
      <w:pPr>
        <w:ind w:firstLine="709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Место проведения:</w:t>
      </w:r>
    </w:p>
    <w:p w14:paraId="27F54247">
      <w:pPr>
        <w:pStyle w:val="6"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eastAsia="MS Mincho"/>
          <w:lang w:eastAsia="ja-JP"/>
        </w:rPr>
      </w:pPr>
      <w:r>
        <w:rPr>
          <w:color w:val="0D0D0D"/>
        </w:rPr>
        <w:t xml:space="preserve">г. Чебоксары, ул. </w:t>
      </w:r>
      <w:r>
        <w:rPr>
          <w:color w:val="0D0D0D"/>
          <w:lang w:val="ru-RU"/>
        </w:rPr>
        <w:t>Ю</w:t>
      </w:r>
      <w:r>
        <w:rPr>
          <w:rFonts w:hint="default"/>
          <w:color w:val="0D0D0D"/>
          <w:lang w:val="ru-RU"/>
        </w:rPr>
        <w:t>.</w:t>
      </w:r>
      <w:r>
        <w:rPr>
          <w:color w:val="0D0D0D"/>
        </w:rPr>
        <w:t xml:space="preserve">Гагарина, д. 14, </w:t>
      </w:r>
      <w:r>
        <w:rPr>
          <w:rFonts w:ascii="f" w:hAnsi="f"/>
          <w:color w:val="333333"/>
          <w:sz w:val="23"/>
          <w:szCs w:val="23"/>
          <w:shd w:val="clear" w:color="auto" w:fill="FFFFFF"/>
        </w:rPr>
        <w:t xml:space="preserve">АУ </w:t>
      </w:r>
      <w:r>
        <w:rPr>
          <w:color w:val="333333"/>
          <w:shd w:val="clear" w:color="auto" w:fill="FFFFFF"/>
        </w:rPr>
        <w:t xml:space="preserve">«Русский драмтеатр» Минкультуры </w:t>
      </w:r>
      <w:r>
        <w:rPr>
          <w:rFonts w:hint="default"/>
          <w:color w:val="333333"/>
          <w:shd w:val="clear" w:color="auto" w:fill="FFFFFF"/>
          <w:lang w:val="ru-RU"/>
        </w:rPr>
        <w:t xml:space="preserve">  </w:t>
      </w:r>
    </w:p>
    <w:p w14:paraId="6CC284AA">
      <w:pPr>
        <w:pStyle w:val="6"/>
        <w:numPr>
          <w:ilvl w:val="0"/>
          <w:numId w:val="0"/>
        </w:numPr>
        <w:suppressAutoHyphens w:val="0"/>
        <w:ind w:left="709" w:leftChars="0" w:firstLine="360" w:firstLineChars="150"/>
        <w:contextualSpacing/>
        <w:jc w:val="both"/>
        <w:rPr>
          <w:rFonts w:eastAsia="MS Mincho"/>
          <w:lang w:eastAsia="ja-JP"/>
        </w:rPr>
      </w:pPr>
      <w:r>
        <w:rPr>
          <w:rFonts w:hint="default"/>
          <w:color w:val="333333"/>
          <w:shd w:val="clear" w:color="auto" w:fill="FFFFFF"/>
          <w:lang w:val="ru-RU"/>
        </w:rPr>
        <w:t xml:space="preserve">     </w:t>
      </w:r>
      <w:r>
        <w:rPr>
          <w:color w:val="333333"/>
          <w:shd w:val="clear" w:color="auto" w:fill="FFFFFF"/>
        </w:rPr>
        <w:t>Чувашии</w:t>
      </w:r>
    </w:p>
    <w:p w14:paraId="7D685F92">
      <w:pPr>
        <w:pStyle w:val="6"/>
        <w:suppressAutoHyphens w:val="0"/>
        <w:ind w:left="709"/>
        <w:contextualSpacing/>
        <w:jc w:val="both"/>
        <w:rPr>
          <w:rFonts w:eastAsia="MS Mincho"/>
          <w:lang w:eastAsia="ja-JP"/>
        </w:rPr>
      </w:pPr>
    </w:p>
    <w:p w14:paraId="28276C7C">
      <w:pPr>
        <w:pStyle w:val="6"/>
        <w:suppressAutoHyphens w:val="0"/>
        <w:ind w:left="709"/>
        <w:contextualSpacing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b/>
          <w:sz w:val="26"/>
          <w:szCs w:val="26"/>
          <w:lang w:eastAsia="ja-JP"/>
        </w:rPr>
        <w:t>Программа конференции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081"/>
      </w:tblGrid>
      <w:tr w14:paraId="456D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B79A20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Время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44A67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Мероприятие</w:t>
            </w:r>
          </w:p>
        </w:tc>
      </w:tr>
      <w:tr w14:paraId="40A5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AF2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09:00-09:50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E1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Регистрация участников</w:t>
            </w:r>
          </w:p>
        </w:tc>
      </w:tr>
      <w:tr w14:paraId="70BB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9631">
            <w:pPr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eastAsia="MS Mincho"/>
                <w:bCs/>
                <w:lang w:eastAsia="ja-JP"/>
              </w:rPr>
              <w:t>09:50</w:t>
            </w:r>
            <w:r>
              <w:rPr>
                <w:rFonts w:hint="default" w:eastAsia="MS Mincho"/>
                <w:bCs/>
                <w:lang w:val="ru-RU" w:eastAsia="ja-JP"/>
              </w:rPr>
              <w:t>-10:10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8A1B">
            <w:pPr>
              <w:pStyle w:val="6"/>
              <w:ind w:left="0"/>
              <w:jc w:val="both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Приветственное слово: </w:t>
            </w:r>
          </w:p>
          <w:p w14:paraId="78D7D90A">
            <w:pPr>
              <w:pStyle w:val="6"/>
              <w:numPr>
                <w:ilvl w:val="0"/>
                <w:numId w:val="1"/>
              </w:numPr>
              <w:ind w:left="34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Гурьянова Евгения Аркадьевна, ректор ГАУ ДПО «Институт усовершенствования врачей» Минздрава Чувашии;</w:t>
            </w:r>
          </w:p>
          <w:p w14:paraId="0BAE4D6C">
            <w:pPr>
              <w:pStyle w:val="6"/>
              <w:numPr>
                <w:ilvl w:val="0"/>
                <w:numId w:val="1"/>
              </w:numPr>
              <w:ind w:left="34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Степанов Владимир Геннадьевич - заместитель председателя Кабинета Министров Чувашской Республики - министр здравоохранения Чувашской Республики;</w:t>
            </w:r>
          </w:p>
          <w:p w14:paraId="38DCD438">
            <w:pPr>
              <w:pStyle w:val="6"/>
              <w:numPr>
                <w:ilvl w:val="0"/>
                <w:numId w:val="1"/>
              </w:numPr>
              <w:ind w:left="344"/>
              <w:jc w:val="both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Самойлова Алла Владимировна - р</w:t>
            </w:r>
            <w:r>
              <w:rPr>
                <w:rStyle w:val="4"/>
                <w:b w:val="0"/>
                <w:bCs w:val="0"/>
                <w:color w:val="000000"/>
              </w:rPr>
              <w:t>уководитель Федеральной службы по надзору в сфере здравоохранения;</w:t>
            </w:r>
          </w:p>
          <w:p w14:paraId="0AC633BA">
            <w:pPr>
              <w:pStyle w:val="6"/>
              <w:numPr>
                <w:ilvl w:val="0"/>
                <w:numId w:val="1"/>
              </w:numPr>
              <w:ind w:left="34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Александров Андрей Юрьевич - ректор ФГБОУ ВО «Чувашский государственный университет имени И.Н. Ульянова»</w:t>
            </w:r>
          </w:p>
        </w:tc>
      </w:tr>
      <w:tr w14:paraId="455B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661E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MS Mincho"/>
                <w:bCs/>
                <w:lang w:eastAsia="ja-JP"/>
              </w:rPr>
              <w:t>10:</w:t>
            </w:r>
            <w:r>
              <w:rPr>
                <w:rFonts w:hint="default" w:eastAsia="MS Mincho"/>
                <w:bCs/>
                <w:lang w:val="ru-RU" w:eastAsia="ja-JP"/>
              </w:rPr>
              <w:t>10</w:t>
            </w:r>
            <w:r>
              <w:rPr>
                <w:rFonts w:eastAsia="MS Mincho"/>
                <w:bCs/>
                <w:lang w:eastAsia="ja-JP"/>
              </w:rPr>
              <w:t>-10:</w:t>
            </w:r>
            <w:r>
              <w:rPr>
                <w:rFonts w:hint="default" w:eastAsia="MS Mincho"/>
                <w:bCs/>
                <w:lang w:val="ru-RU" w:eastAsia="ja-JP"/>
              </w:rPr>
              <w:t>2</w:t>
            </w:r>
            <w:r>
              <w:rPr>
                <w:rFonts w:eastAsia="MS Mincho"/>
                <w:bCs/>
                <w:lang w:eastAsia="ja-JP"/>
              </w:rPr>
              <w:t>5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C763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Гурьянова Евгения Аркадьевна</w:t>
            </w:r>
            <w:r>
              <w:t>, д.м.н., профессор, ректор ГАУ ДПО «Институт усовершенствования врачей» Минздрава Чувашии</w:t>
            </w:r>
          </w:p>
          <w:p w14:paraId="76EEE1DA">
            <w:pPr>
              <w:pStyle w:val="6"/>
              <w:ind w:left="0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Доклад</w:t>
            </w:r>
            <w:r>
              <w:t xml:space="preserve"> «Постдипломное обучение врачей: прошлое, настоящее и будущее»</w:t>
            </w:r>
          </w:p>
        </w:tc>
      </w:tr>
      <w:tr w14:paraId="1514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D1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bookmarkStart w:id="0" w:name="_GoBack"/>
            <w:r>
              <w:rPr>
                <w:rFonts w:eastAsia="Calibri"/>
                <w:bCs/>
              </w:rPr>
              <w:t>10:</w:t>
            </w:r>
            <w:r>
              <w:rPr>
                <w:rFonts w:hint="default" w:eastAsia="Calibri"/>
                <w:bCs/>
                <w:lang w:val="ru-RU"/>
              </w:rPr>
              <w:t>2</w:t>
            </w:r>
            <w:r>
              <w:rPr>
                <w:rFonts w:eastAsia="Calibri"/>
                <w:bCs/>
              </w:rPr>
              <w:t>5-10:</w:t>
            </w:r>
            <w:r>
              <w:rPr>
                <w:rFonts w:hint="default" w:eastAsia="Calibri"/>
                <w:bCs/>
                <w:lang w:val="ru-RU"/>
              </w:rPr>
              <w:t>45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9DF8">
            <w:pPr>
              <w:pStyle w:val="6"/>
              <w:ind w:left="0"/>
              <w:jc w:val="both"/>
              <w:rPr>
                <w:rFonts w:hint="default"/>
                <w:lang w:val="ru-RU"/>
              </w:rPr>
            </w:pPr>
            <w:r>
              <w:rPr>
                <w:b/>
                <w:bCs/>
              </w:rPr>
              <w:t>Богданова Татьяна Геннадьевна</w:t>
            </w:r>
            <w:r>
              <w:t>, д.м.н., заместитель директора по организации здравоохранения ФГБУ «Центральный научно-исследовательский институт организации и информатизации здравоохранения» Минздрава России</w:t>
            </w:r>
            <w:r>
              <w:rPr>
                <w:rFonts w:hint="default"/>
                <w:lang w:val="ru-RU"/>
              </w:rPr>
              <w:t xml:space="preserve"> (содокладчики: д.м.н., доцент, начальник отдела научных основ организации Здравоохранения Ходакова О.В., главный специалист по взаимодействию с регионами Третьякова О.Г.)</w:t>
            </w:r>
          </w:p>
          <w:p w14:paraId="40263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Доклад</w:t>
            </w:r>
            <w:r>
              <w:t xml:space="preserve"> «</w:t>
            </w: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гериатрических кабинетов в составе многопрофильных стационаров»</w:t>
            </w:r>
          </w:p>
        </w:tc>
      </w:tr>
      <w:tr w14:paraId="11DA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CAA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eastAsia="Calibri"/>
                <w:bCs/>
              </w:rPr>
              <w:t>10:</w:t>
            </w:r>
            <w:r>
              <w:rPr>
                <w:rFonts w:hint="default" w:eastAsia="Calibri"/>
                <w:bCs/>
                <w:lang w:val="ru-RU"/>
              </w:rPr>
              <w:t>45</w:t>
            </w:r>
            <w:r>
              <w:rPr>
                <w:rFonts w:eastAsia="Calibri"/>
                <w:bCs/>
              </w:rPr>
              <w:t>-1</w:t>
            </w:r>
            <w:r>
              <w:rPr>
                <w:rFonts w:hint="default"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</w:rPr>
              <w:t>:</w:t>
            </w:r>
            <w:r>
              <w:rPr>
                <w:rFonts w:hint="default" w:eastAsia="Calibri"/>
                <w:bCs/>
                <w:lang w:val="ru-RU"/>
              </w:rPr>
              <w:t>00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0FB5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Иванова Ирина Евгеньевна</w:t>
            </w:r>
            <w:r>
              <w:t>, д.м.н., доцент, зав. кафедрой педиатрии ГАУ ДПО «Институт усовершенствования врачей» Минздрава Чувашии (содокладчики: д.м.н., проф. Родионов В.А., Агандеева М.С.)</w:t>
            </w:r>
          </w:p>
          <w:p w14:paraId="4F1C75A9">
            <w:pPr>
              <w:pStyle w:val="6"/>
              <w:ind w:left="0"/>
              <w:jc w:val="both"/>
              <w:rPr>
                <w:rFonts w:eastAsia="Calibri"/>
                <w:i/>
                <w:iCs/>
              </w:rPr>
            </w:pPr>
            <w:r>
              <w:rPr>
                <w:b/>
                <w:bCs/>
              </w:rPr>
              <w:t>Доклад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t>«Состояние здоровья городских детей раннего возраста, современные тенденции»</w:t>
            </w:r>
          </w:p>
        </w:tc>
      </w:tr>
      <w:tr w14:paraId="1A1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14FE">
            <w:pPr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hint="default"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</w:rPr>
              <w:t>:</w:t>
            </w:r>
            <w:r>
              <w:rPr>
                <w:rFonts w:hint="default" w:eastAsia="Calibri"/>
                <w:bCs/>
                <w:lang w:val="ru-RU"/>
              </w:rPr>
              <w:t>00</w:t>
            </w:r>
            <w:r>
              <w:rPr>
                <w:rFonts w:eastAsia="Calibri"/>
                <w:bCs/>
              </w:rPr>
              <w:t>-11:</w:t>
            </w:r>
            <w:r>
              <w:rPr>
                <w:rFonts w:hint="default" w:eastAsia="Calibri"/>
                <w:bCs/>
                <w:lang w:val="ru-RU"/>
              </w:rPr>
              <w:t>15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C031B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Артемьева Елена Геннадьевна</w:t>
            </w:r>
            <w:r>
              <w:t>, д.м.н., профессор, зав. кафедрой терапии и общей врачебной практики ГАУ ДПО «Институт усовершенствования врачей» Минздрава Чувашии</w:t>
            </w:r>
          </w:p>
          <w:p w14:paraId="673FEA70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Доклад</w:t>
            </w:r>
            <w:r>
              <w:t xml:space="preserve"> «Коморбидный пациент - герой нашего времени»</w:t>
            </w:r>
          </w:p>
        </w:tc>
      </w:tr>
      <w:tr w14:paraId="16E5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F5C8">
            <w:pPr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eastAsia="Calibri"/>
                <w:bCs/>
              </w:rPr>
              <w:t>11.</w:t>
            </w:r>
            <w:r>
              <w:rPr>
                <w:rFonts w:hint="default" w:eastAsia="Calibri"/>
                <w:bCs/>
                <w:lang w:val="ru-RU"/>
              </w:rPr>
              <w:t>15</w:t>
            </w:r>
            <w:r>
              <w:rPr>
                <w:rFonts w:eastAsia="Calibri"/>
                <w:bCs/>
              </w:rPr>
              <w:t>-11.</w:t>
            </w:r>
            <w:r>
              <w:rPr>
                <w:rFonts w:hint="default" w:eastAsia="Calibri"/>
                <w:bCs/>
                <w:lang w:val="ru-RU"/>
              </w:rPr>
              <w:t>30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FCB8">
            <w:pPr>
              <w:pStyle w:val="6"/>
              <w:ind w:left="0"/>
              <w:jc w:val="both"/>
              <w:rPr>
                <w:rFonts w:hint="default"/>
                <w:lang w:val="ru-RU"/>
              </w:rPr>
            </w:pPr>
            <w:r>
              <w:rPr>
                <w:b/>
                <w:bCs/>
              </w:rPr>
              <w:t xml:space="preserve">Григорович Марина Сергеевна, </w:t>
            </w:r>
            <w:r>
              <w:t>д.м.н., доцент, зав. кафедрой семейной медицины и поликлинической терапии ФГБОУ ВО «Кировский ГМУ» Минздрава России, главный внештатный специалист по общей врачебной практике Минздрава Кировской области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574BED8E">
            <w:pPr>
              <w:pStyle w:val="6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Доклад</w:t>
            </w:r>
            <w:r>
              <w:t xml:space="preserve"> «Семья в аспекте хронических неинфекционных заболеваний и факторов риска их развития»</w:t>
            </w:r>
          </w:p>
        </w:tc>
      </w:tr>
      <w:tr w14:paraId="5A61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2EEC">
            <w:pPr>
              <w:autoSpaceDE w:val="0"/>
              <w:autoSpaceDN w:val="0"/>
              <w:adjustRightInd w:val="0"/>
              <w:jc w:val="both"/>
              <w:rPr>
                <w:rFonts w:hint="default" w:eastAsia="Calibri"/>
                <w:bCs/>
                <w:lang w:val="ru-RU"/>
              </w:rPr>
            </w:pPr>
            <w:r>
              <w:rPr>
                <w:rFonts w:eastAsia="Calibri"/>
                <w:bCs/>
              </w:rPr>
              <w:t>11.</w:t>
            </w:r>
            <w:r>
              <w:rPr>
                <w:rFonts w:hint="default" w:eastAsia="Calibri"/>
                <w:bCs/>
                <w:lang w:val="ru-RU"/>
              </w:rPr>
              <w:t>30</w:t>
            </w:r>
            <w:r>
              <w:rPr>
                <w:rFonts w:eastAsia="Calibri"/>
                <w:bCs/>
              </w:rPr>
              <w:t>-11.</w:t>
            </w:r>
            <w:r>
              <w:rPr>
                <w:rFonts w:hint="default" w:eastAsia="Calibri"/>
                <w:bCs/>
                <w:lang w:val="ru-RU"/>
              </w:rPr>
              <w:t>45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5FCB6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Антипенко Елена Альбертовна</w:t>
            </w:r>
            <w:r>
              <w:t xml:space="preserve">, д.м.н., профессор, зав. кафедрой неврологии, психиатрии и наркологии </w:t>
            </w:r>
            <w:r>
              <w:rPr>
                <w:lang w:val="ru-RU"/>
              </w:rPr>
              <w:t>ФГБОУ</w:t>
            </w:r>
            <w:r>
              <w:rPr>
                <w:rFonts w:hint="default"/>
                <w:lang w:val="ru-RU"/>
              </w:rPr>
              <w:t xml:space="preserve"> ВО </w:t>
            </w:r>
            <w:r>
              <w:t>«Приволжск</w:t>
            </w:r>
            <w:r>
              <w:rPr>
                <w:lang w:val="ru-RU"/>
              </w:rPr>
              <w:t>ий</w:t>
            </w:r>
            <w:r>
              <w:t xml:space="preserve"> исследовательск</w:t>
            </w:r>
            <w:r>
              <w:rPr>
                <w:lang w:val="ru-RU"/>
              </w:rPr>
              <w:t>ий</w:t>
            </w:r>
            <w:r>
              <w:t xml:space="preserve"> медицинск</w:t>
            </w:r>
            <w:r>
              <w:rPr>
                <w:lang w:val="ru-RU"/>
              </w:rPr>
              <w:t>ий</w:t>
            </w:r>
            <w:r>
              <w:t xml:space="preserve"> университет» Минздрава   России</w:t>
            </w:r>
          </w:p>
          <w:p w14:paraId="29FC9807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Доклад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t>«Головная боль как междисциплинарная проблема»</w:t>
            </w:r>
          </w:p>
        </w:tc>
      </w:tr>
      <w:tr w14:paraId="25D3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6A52">
            <w:pPr>
              <w:autoSpaceDE w:val="0"/>
              <w:autoSpaceDN w:val="0"/>
              <w:adjustRightInd w:val="0"/>
              <w:jc w:val="both"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bCs/>
              </w:rPr>
              <w:t>11:</w:t>
            </w:r>
            <w:r>
              <w:rPr>
                <w:rFonts w:hint="default" w:eastAsia="Calibri"/>
                <w:bCs/>
                <w:lang w:val="ru-RU"/>
              </w:rPr>
              <w:t>45</w:t>
            </w:r>
            <w:r>
              <w:rPr>
                <w:rFonts w:eastAsia="Calibri"/>
                <w:bCs/>
              </w:rPr>
              <w:t>-1</w:t>
            </w:r>
            <w:r>
              <w:rPr>
                <w:rFonts w:hint="default" w:eastAsia="Calibri"/>
                <w:bCs/>
                <w:lang w:val="ru-RU"/>
              </w:rPr>
              <w:t>2</w:t>
            </w:r>
            <w:r>
              <w:rPr>
                <w:rFonts w:eastAsia="Calibri"/>
                <w:bCs/>
              </w:rPr>
              <w:t>:</w:t>
            </w:r>
            <w:r>
              <w:rPr>
                <w:rFonts w:hint="default" w:eastAsia="Calibri"/>
                <w:bCs/>
                <w:lang w:val="ru-RU"/>
              </w:rPr>
              <w:t>00</w:t>
            </w:r>
          </w:p>
        </w:tc>
        <w:tc>
          <w:tcPr>
            <w:tcW w:w="8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DE11B">
            <w:pPr>
              <w:pStyle w:val="6"/>
              <w:ind w:left="0"/>
              <w:jc w:val="both"/>
            </w:pPr>
            <w:r>
              <w:rPr>
                <w:b/>
                <w:bCs/>
              </w:rPr>
              <w:t xml:space="preserve">Пальчикова Любовь Альбертовна, </w:t>
            </w:r>
            <w:r>
              <w:t>главный врач мед. центра «Виталонг-</w:t>
            </w:r>
            <w:r>
              <w:rPr>
                <w:lang w:val="ru-RU"/>
              </w:rPr>
              <w:t>к</w:t>
            </w:r>
            <w:r>
              <w:t>линика Холода» (г. Тольятти), врач</w:t>
            </w:r>
            <w:r>
              <w:rPr>
                <w:rFonts w:hint="default"/>
                <w:lang w:val="en-US"/>
              </w:rPr>
              <w:t>-</w:t>
            </w:r>
            <w:r>
              <w:t>педиатр, физиотерапевт, академический советник по медицине Международной Академии Холода</w:t>
            </w:r>
          </w:p>
          <w:p w14:paraId="3E5CD007">
            <w:pPr>
              <w:pStyle w:val="6"/>
              <w:ind w:left="0"/>
              <w:jc w:val="both"/>
            </w:pPr>
            <w:r>
              <w:rPr>
                <w:b/>
                <w:bCs/>
              </w:rPr>
              <w:t>Доклад</w:t>
            </w:r>
            <w:r>
              <w:t xml:space="preserve"> «Эффективность криотерапии в реабилитации больных различного профиля»</w:t>
            </w:r>
          </w:p>
        </w:tc>
      </w:tr>
    </w:tbl>
    <w:p w14:paraId="6D9FC58F">
      <w:pPr>
        <w:pStyle w:val="6"/>
        <w:ind w:left="709"/>
        <w:jc w:val="both"/>
        <w:rPr>
          <w:rFonts w:eastAsia="MS Mincho"/>
          <w:lang w:eastAsia="ja-JP"/>
        </w:rPr>
      </w:pPr>
    </w:p>
    <w:p w14:paraId="256AF843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13C2D8D1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bookmarkEnd w:id="0"/>
    <w:p w14:paraId="35047F6D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0899469A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7B3638CA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6A2D9C16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72C9D7D3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44699FB4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2320A584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367A8CB9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167571E5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329F2C1E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1F6C5125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1971AE8B">
      <w:pPr>
        <w:pStyle w:val="5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646C2C7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C3A82"/>
    <w:multiLevelType w:val="multilevel"/>
    <w:tmpl w:val="4B6C3A8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textFit" w:percent="24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84"/>
    <w:rsid w:val="002B5495"/>
    <w:rsid w:val="008B3C27"/>
    <w:rsid w:val="008B4583"/>
    <w:rsid w:val="00B64D09"/>
    <w:rsid w:val="00F27E84"/>
    <w:rsid w:val="0DA526B8"/>
    <w:rsid w:val="3448728E"/>
    <w:rsid w:val="3D000B76"/>
    <w:rsid w:val="40C9419A"/>
    <w:rsid w:val="498A6EF5"/>
    <w:rsid w:val="620F2070"/>
    <w:rsid w:val="62752FC6"/>
    <w:rsid w:val="657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suppressAutoHyphens/>
      <w:ind w:left="708"/>
    </w:pPr>
    <w:rPr>
      <w:kern w:val="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2674</Characters>
  <Lines>22</Lines>
  <Paragraphs>6</Paragraphs>
  <TotalTime>19</TotalTime>
  <ScaleCrop>false</ScaleCrop>
  <LinksUpToDate>false</LinksUpToDate>
  <CharactersWithSpaces>3137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2024-09-18T10:41:00Z</dcterms:created>
  <dc:creator>Надежда Витальевна Семенова</dc:creator>
  <cp:lastModifiedBy>e.roginskaia</cp:lastModifiedBy>
  <dcterms:modified xsi:type="dcterms:W3CDTF">2024-10-04T06:22:14Z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3FA10AF8EDB04120A468777E621E29E8_13</vt:lpwstr>
  </property>
</Properties>
</file>